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C34" w:rsidRPr="00221347" w:rsidRDefault="00644C34" w:rsidP="00221347">
      <w:pPr>
        <w:pStyle w:val="Textkrper"/>
        <w:rPr>
          <w:sz w:val="18"/>
          <w:szCs w:val="18"/>
        </w:rPr>
      </w:pPr>
      <w:r>
        <w:t>Lösungsstichworte zu den Fällen: „Aus der Praxis der organ. Nachbarschaftshilfe</w:t>
      </w:r>
      <w:r w:rsidR="00221347">
        <w:t xml:space="preserve"> </w:t>
      </w:r>
      <w:r>
        <w:t>-Rechtliche Aspekte“</w:t>
      </w:r>
      <w:r w:rsidR="00221347">
        <w:t xml:space="preserve"> </w:t>
      </w:r>
      <w:r w:rsidRPr="00221347">
        <w:rPr>
          <w:sz w:val="18"/>
          <w:szCs w:val="18"/>
        </w:rPr>
        <w:t>(alle geschilderten Personen in den Fällen existieren in Wirklichkeit nicht!)</w:t>
      </w:r>
    </w:p>
    <w:p w:rsidR="00644C34" w:rsidRDefault="00644C34">
      <w:pPr>
        <w:rPr>
          <w:sz w:val="24"/>
        </w:rPr>
      </w:pPr>
    </w:p>
    <w:p w:rsidR="00644C34" w:rsidRDefault="00644C34">
      <w:pPr>
        <w:numPr>
          <w:ilvl w:val="0"/>
          <w:numId w:val="3"/>
        </w:numPr>
        <w:rPr>
          <w:sz w:val="24"/>
        </w:rPr>
      </w:pPr>
      <w:r>
        <w:rPr>
          <w:sz w:val="24"/>
        </w:rPr>
        <w:t xml:space="preserve">Die berufliche Qualifikation </w:t>
      </w:r>
      <w:r w:rsidR="00EC414A">
        <w:rPr>
          <w:sz w:val="24"/>
        </w:rPr>
        <w:t>„</w:t>
      </w:r>
      <w:r>
        <w:rPr>
          <w:sz w:val="24"/>
        </w:rPr>
        <w:t>Krankenschwester</w:t>
      </w:r>
      <w:r w:rsidR="00EC414A">
        <w:rPr>
          <w:sz w:val="24"/>
        </w:rPr>
        <w:t>“</w:t>
      </w:r>
      <w:r>
        <w:rPr>
          <w:sz w:val="24"/>
        </w:rPr>
        <w:t xml:space="preserve"> ist für den freiwilligen Einsatz im Rahmen der org. Nbhi. unerheblich. Die Helferin kann </w:t>
      </w:r>
      <w:r w:rsidRPr="00EC414A">
        <w:rPr>
          <w:sz w:val="24"/>
        </w:rPr>
        <w:t>pflege</w:t>
      </w:r>
      <w:r>
        <w:rPr>
          <w:b/>
          <w:sz w:val="24"/>
        </w:rPr>
        <w:t>unterstützend</w:t>
      </w:r>
      <w:r>
        <w:rPr>
          <w:sz w:val="24"/>
        </w:rPr>
        <w:t xml:space="preserve"> tätig werden, „</w:t>
      </w:r>
      <w:r>
        <w:rPr>
          <w:b/>
          <w:sz w:val="24"/>
        </w:rPr>
        <w:t>unter Aufsicht</w:t>
      </w:r>
      <w:r>
        <w:rPr>
          <w:sz w:val="24"/>
        </w:rPr>
        <w:t xml:space="preserve">“ des Angehörigen oder der Schwester und </w:t>
      </w:r>
      <w:r w:rsidR="00EC414A">
        <w:rPr>
          <w:sz w:val="24"/>
        </w:rPr>
        <w:t xml:space="preserve">das </w:t>
      </w:r>
      <w:r w:rsidR="00442589">
        <w:rPr>
          <w:sz w:val="24"/>
        </w:rPr>
        <w:t xml:space="preserve">hätte dann </w:t>
      </w:r>
      <w:r>
        <w:rPr>
          <w:sz w:val="24"/>
        </w:rPr>
        <w:t>insoweit keine Konsequenz</w:t>
      </w:r>
      <w:r w:rsidR="00442589">
        <w:rPr>
          <w:sz w:val="24"/>
        </w:rPr>
        <w:t xml:space="preserve"> für die Helferin</w:t>
      </w:r>
      <w:r>
        <w:rPr>
          <w:sz w:val="24"/>
        </w:rPr>
        <w:t>!</w:t>
      </w:r>
    </w:p>
    <w:p w:rsidR="00644C34" w:rsidRDefault="00644C34">
      <w:pPr>
        <w:rPr>
          <w:sz w:val="24"/>
        </w:rPr>
      </w:pPr>
    </w:p>
    <w:p w:rsidR="00EC414A" w:rsidRDefault="00EC414A" w:rsidP="00EC414A">
      <w:pPr>
        <w:numPr>
          <w:ilvl w:val="0"/>
          <w:numId w:val="3"/>
        </w:numPr>
        <w:rPr>
          <w:sz w:val="24"/>
        </w:rPr>
      </w:pPr>
      <w:r>
        <w:rPr>
          <w:sz w:val="24"/>
        </w:rPr>
        <w:t>D</w:t>
      </w:r>
      <w:r w:rsidR="00644C34">
        <w:rPr>
          <w:sz w:val="24"/>
        </w:rPr>
        <w:t xml:space="preserve">ie Medikamentengabe oder „Spritze“ </w:t>
      </w:r>
      <w:r>
        <w:rPr>
          <w:sz w:val="24"/>
        </w:rPr>
        <w:t xml:space="preserve">ist </w:t>
      </w:r>
      <w:r w:rsidR="00442589">
        <w:rPr>
          <w:sz w:val="24"/>
        </w:rPr>
        <w:t xml:space="preserve">eine </w:t>
      </w:r>
      <w:r w:rsidR="00644C34">
        <w:rPr>
          <w:sz w:val="24"/>
        </w:rPr>
        <w:t xml:space="preserve">sogenannte vom Arzt zu verordnende </w:t>
      </w:r>
      <w:r w:rsidR="00442589">
        <w:rPr>
          <w:sz w:val="24"/>
        </w:rPr>
        <w:t>Behandlungsmaßnahme</w:t>
      </w:r>
      <w:r>
        <w:rPr>
          <w:sz w:val="24"/>
        </w:rPr>
        <w:t xml:space="preserve">, </w:t>
      </w:r>
      <w:r w:rsidR="00644C34">
        <w:rPr>
          <w:sz w:val="24"/>
        </w:rPr>
        <w:t xml:space="preserve">die </w:t>
      </w:r>
      <w:r w:rsidR="00644C34" w:rsidRPr="00EC414A">
        <w:rPr>
          <w:b/>
          <w:sz w:val="24"/>
        </w:rPr>
        <w:t>nur</w:t>
      </w:r>
      <w:r w:rsidR="00644C34">
        <w:rPr>
          <w:sz w:val="24"/>
        </w:rPr>
        <w:t xml:space="preserve"> eine autorisierte </w:t>
      </w:r>
      <w:r>
        <w:rPr>
          <w:sz w:val="24"/>
        </w:rPr>
        <w:t xml:space="preserve">und voll ausgebildete </w:t>
      </w:r>
      <w:r w:rsidR="00644C34">
        <w:rPr>
          <w:sz w:val="24"/>
        </w:rPr>
        <w:t xml:space="preserve">Pflegefachkraft </w:t>
      </w:r>
      <w:r>
        <w:rPr>
          <w:sz w:val="24"/>
        </w:rPr>
        <w:t xml:space="preserve">einer anerkannten Sozialstation oder eines Pflegedienstes </w:t>
      </w:r>
      <w:r w:rsidR="00644C34">
        <w:rPr>
          <w:sz w:val="24"/>
        </w:rPr>
        <w:t xml:space="preserve">erbringen kann. Die Schwester kann die Helferin </w:t>
      </w:r>
      <w:r w:rsidR="00644C34">
        <w:rPr>
          <w:b/>
          <w:sz w:val="24"/>
        </w:rPr>
        <w:t xml:space="preserve">nicht </w:t>
      </w:r>
      <w:r w:rsidR="00644C34">
        <w:rPr>
          <w:sz w:val="24"/>
        </w:rPr>
        <w:t>beauftragen, sie würde dann fahrlässig handeln</w:t>
      </w:r>
      <w:r w:rsidR="00442589">
        <w:rPr>
          <w:sz w:val="24"/>
        </w:rPr>
        <w:t>.</w:t>
      </w:r>
      <w:r>
        <w:rPr>
          <w:sz w:val="24"/>
        </w:rPr>
        <w:t xml:space="preserve"> </w:t>
      </w:r>
    </w:p>
    <w:p w:rsidR="00644C34" w:rsidRDefault="00EC414A" w:rsidP="00EC414A">
      <w:pPr>
        <w:ind w:left="360"/>
        <w:rPr>
          <w:sz w:val="24"/>
        </w:rPr>
      </w:pPr>
      <w:r>
        <w:rPr>
          <w:sz w:val="24"/>
        </w:rPr>
        <w:t>Privat kann selbstverständlich ein Angehöriger eine Insulinspritze verabreichen, wenn der „Empfänger“ einverstanden ist, nicht jedoch im Rahmen der org. Nbhi.</w:t>
      </w:r>
    </w:p>
    <w:p w:rsidR="00644C34" w:rsidRDefault="00644C34">
      <w:pPr>
        <w:rPr>
          <w:sz w:val="24"/>
        </w:rPr>
      </w:pPr>
    </w:p>
    <w:p w:rsidR="00644C34" w:rsidRDefault="00644C34">
      <w:pPr>
        <w:numPr>
          <w:ilvl w:val="0"/>
          <w:numId w:val="3"/>
        </w:numPr>
        <w:rPr>
          <w:sz w:val="24"/>
        </w:rPr>
      </w:pPr>
      <w:r>
        <w:rPr>
          <w:sz w:val="24"/>
        </w:rPr>
        <w:t xml:space="preserve">Fahrten </w:t>
      </w:r>
      <w:r w:rsidRPr="00EC414A">
        <w:rPr>
          <w:sz w:val="24"/>
        </w:rPr>
        <w:t>mit</w:t>
      </w:r>
      <w:r>
        <w:rPr>
          <w:b/>
          <w:sz w:val="24"/>
        </w:rPr>
        <w:t xml:space="preserve"> </w:t>
      </w:r>
      <w:r w:rsidRPr="00EC414A">
        <w:rPr>
          <w:sz w:val="24"/>
        </w:rPr>
        <w:t>dem Auto</w:t>
      </w:r>
      <w:r>
        <w:rPr>
          <w:b/>
          <w:sz w:val="24"/>
        </w:rPr>
        <w:t xml:space="preserve"> des Hilfebedürftigen</w:t>
      </w:r>
      <w:r>
        <w:rPr>
          <w:sz w:val="24"/>
        </w:rPr>
        <w:t xml:space="preserve"> sind </w:t>
      </w:r>
      <w:r>
        <w:rPr>
          <w:b/>
          <w:sz w:val="24"/>
        </w:rPr>
        <w:t>nicht</w:t>
      </w:r>
      <w:r>
        <w:rPr>
          <w:sz w:val="24"/>
        </w:rPr>
        <w:t xml:space="preserve"> zulässig, hier besteht kein Versicherungsschutz! Dies wäre nur in begründeten Ausnahmefällen zu lässig. z.B. bei einem Notfall.</w:t>
      </w:r>
      <w:r w:rsidR="00442589">
        <w:rPr>
          <w:sz w:val="24"/>
        </w:rPr>
        <w:t xml:space="preserve"> </w:t>
      </w:r>
      <w:r>
        <w:rPr>
          <w:sz w:val="24"/>
        </w:rPr>
        <w:t xml:space="preserve">Sonst sind die Helferinnen über den Träger </w:t>
      </w:r>
      <w:r w:rsidR="00EC414A">
        <w:rPr>
          <w:sz w:val="24"/>
        </w:rPr>
        <w:t>(</w:t>
      </w:r>
      <w:r>
        <w:rPr>
          <w:sz w:val="24"/>
        </w:rPr>
        <w:t>Kirchengemeinde</w:t>
      </w:r>
      <w:r w:rsidR="009850B2">
        <w:rPr>
          <w:sz w:val="24"/>
        </w:rPr>
        <w:t xml:space="preserve">) </w:t>
      </w:r>
      <w:r>
        <w:rPr>
          <w:sz w:val="24"/>
        </w:rPr>
        <w:t>Unfall-/Haftpflicht</w:t>
      </w:r>
      <w:r w:rsidR="002F2F6F">
        <w:rPr>
          <w:sz w:val="24"/>
        </w:rPr>
        <w:t>-</w:t>
      </w:r>
      <w:r>
        <w:rPr>
          <w:sz w:val="24"/>
        </w:rPr>
        <w:t>/Dienstreiseversichert</w:t>
      </w:r>
      <w:r w:rsidR="00EC414A">
        <w:rPr>
          <w:sz w:val="24"/>
        </w:rPr>
        <w:t xml:space="preserve">. </w:t>
      </w:r>
    </w:p>
    <w:p w:rsidR="00644C34" w:rsidRDefault="00644C34">
      <w:pPr>
        <w:rPr>
          <w:sz w:val="24"/>
        </w:rPr>
      </w:pPr>
    </w:p>
    <w:p w:rsidR="00442589" w:rsidRDefault="00644C34">
      <w:pPr>
        <w:rPr>
          <w:b/>
          <w:sz w:val="24"/>
        </w:rPr>
      </w:pPr>
      <w:r>
        <w:rPr>
          <w:sz w:val="24"/>
        </w:rPr>
        <w:t xml:space="preserve">4)    </w:t>
      </w:r>
      <w:r>
        <w:rPr>
          <w:b/>
          <w:sz w:val="24"/>
        </w:rPr>
        <w:t>Ja</w:t>
      </w:r>
      <w:r>
        <w:rPr>
          <w:sz w:val="24"/>
        </w:rPr>
        <w:t xml:space="preserve">, denn er hat sie ausdrücklich darum gebeten. Aber sie ist an die </w:t>
      </w:r>
      <w:r>
        <w:rPr>
          <w:b/>
          <w:sz w:val="24"/>
        </w:rPr>
        <w:t xml:space="preserve">Schweigepflicht </w:t>
      </w:r>
      <w:r w:rsidR="00442589">
        <w:rPr>
          <w:b/>
          <w:sz w:val="24"/>
        </w:rPr>
        <w:t xml:space="preserve"> </w:t>
      </w:r>
    </w:p>
    <w:p w:rsidR="00644C34" w:rsidRDefault="00442589" w:rsidP="00442589">
      <w:pPr>
        <w:tabs>
          <w:tab w:val="left" w:pos="426"/>
        </w:tabs>
        <w:rPr>
          <w:sz w:val="24"/>
        </w:rPr>
      </w:pPr>
      <w:r>
        <w:rPr>
          <w:b/>
          <w:sz w:val="24"/>
        </w:rPr>
        <w:t xml:space="preserve">       </w:t>
      </w:r>
      <w:r w:rsidR="00644C34">
        <w:rPr>
          <w:sz w:val="24"/>
        </w:rPr>
        <w:t>gebunden, darf also über den Inhalt nichts weitererzählen.</w:t>
      </w:r>
    </w:p>
    <w:p w:rsidR="00644C34" w:rsidRDefault="00644C34">
      <w:pPr>
        <w:rPr>
          <w:sz w:val="24"/>
        </w:rPr>
      </w:pPr>
    </w:p>
    <w:p w:rsidR="002F2F6F" w:rsidRDefault="002F2F6F" w:rsidP="002F2F6F">
      <w:pPr>
        <w:rPr>
          <w:sz w:val="24"/>
        </w:rPr>
      </w:pPr>
      <w:r w:rsidRPr="002F2F6F">
        <w:rPr>
          <w:sz w:val="24"/>
        </w:rPr>
        <w:t>5)</w:t>
      </w:r>
      <w:r>
        <w:rPr>
          <w:b/>
          <w:sz w:val="24"/>
        </w:rPr>
        <w:t xml:space="preserve">    </w:t>
      </w:r>
      <w:r w:rsidR="00644C34">
        <w:rPr>
          <w:b/>
          <w:sz w:val="24"/>
        </w:rPr>
        <w:t>Evtl. Schadensersatzansprüche</w:t>
      </w:r>
      <w:r w:rsidR="00644C34">
        <w:rPr>
          <w:sz w:val="24"/>
        </w:rPr>
        <w:t xml:space="preserve"> von Se</w:t>
      </w:r>
      <w:r>
        <w:rPr>
          <w:sz w:val="24"/>
        </w:rPr>
        <w:t xml:space="preserve">iten der Angehörigen (i.A. des Betroffenen). </w:t>
      </w:r>
    </w:p>
    <w:p w:rsidR="00644C34" w:rsidRDefault="002F2F6F" w:rsidP="002F2F6F">
      <w:pPr>
        <w:ind w:left="360"/>
        <w:rPr>
          <w:sz w:val="24"/>
        </w:rPr>
      </w:pPr>
      <w:r w:rsidRPr="002F2F6F">
        <w:rPr>
          <w:sz w:val="24"/>
        </w:rPr>
        <w:t>Auch</w:t>
      </w:r>
      <w:r>
        <w:rPr>
          <w:b/>
          <w:sz w:val="24"/>
        </w:rPr>
        <w:t xml:space="preserve"> </w:t>
      </w:r>
      <w:r w:rsidR="00644C34">
        <w:rPr>
          <w:sz w:val="24"/>
        </w:rPr>
        <w:t xml:space="preserve">hier </w:t>
      </w:r>
      <w:r w:rsidR="00E579F6">
        <w:rPr>
          <w:sz w:val="24"/>
        </w:rPr>
        <w:t xml:space="preserve">stellt sich die Frage </w:t>
      </w:r>
      <w:r w:rsidR="00644C34">
        <w:rPr>
          <w:sz w:val="24"/>
        </w:rPr>
        <w:t xml:space="preserve">nach der </w:t>
      </w:r>
      <w:r>
        <w:rPr>
          <w:sz w:val="24"/>
        </w:rPr>
        <w:t>k</w:t>
      </w:r>
      <w:r w:rsidR="00E579F6">
        <w:rPr>
          <w:sz w:val="24"/>
        </w:rPr>
        <w:t xml:space="preserve">onkreten </w:t>
      </w:r>
      <w:r w:rsidR="00EC414A">
        <w:rPr>
          <w:sz w:val="24"/>
        </w:rPr>
        <w:t>Vereinbarung.</w:t>
      </w:r>
    </w:p>
    <w:p w:rsidR="00644C34" w:rsidRDefault="00644C34">
      <w:pPr>
        <w:rPr>
          <w:sz w:val="24"/>
        </w:rPr>
      </w:pPr>
    </w:p>
    <w:p w:rsidR="00644C34" w:rsidRDefault="00644C34">
      <w:pPr>
        <w:numPr>
          <w:ilvl w:val="0"/>
          <w:numId w:val="6"/>
        </w:numPr>
        <w:rPr>
          <w:sz w:val="24"/>
        </w:rPr>
      </w:pPr>
      <w:r>
        <w:rPr>
          <w:sz w:val="24"/>
        </w:rPr>
        <w:t xml:space="preserve">Hier tritt zunächst die </w:t>
      </w:r>
      <w:r>
        <w:rPr>
          <w:b/>
          <w:sz w:val="24"/>
        </w:rPr>
        <w:t>Krankenversicherung der Helferin</w:t>
      </w:r>
      <w:r>
        <w:rPr>
          <w:sz w:val="24"/>
        </w:rPr>
        <w:t xml:space="preserve"> ein, die die Krankenbehand</w:t>
      </w:r>
      <w:r w:rsidR="00436863">
        <w:rPr>
          <w:sz w:val="24"/>
        </w:rPr>
        <w:t>-</w:t>
      </w:r>
      <w:r>
        <w:rPr>
          <w:sz w:val="24"/>
        </w:rPr>
        <w:t xml:space="preserve">lungskosten übernimmt. Die </w:t>
      </w:r>
      <w:r>
        <w:rPr>
          <w:b/>
          <w:sz w:val="24"/>
        </w:rPr>
        <w:t>Brille</w:t>
      </w:r>
      <w:r>
        <w:rPr>
          <w:sz w:val="24"/>
        </w:rPr>
        <w:t xml:space="preserve"> würde durch die </w:t>
      </w:r>
      <w:r w:rsidR="00436863">
        <w:rPr>
          <w:sz w:val="24"/>
        </w:rPr>
        <w:t>H</w:t>
      </w:r>
      <w:r>
        <w:rPr>
          <w:b/>
          <w:sz w:val="24"/>
        </w:rPr>
        <w:t>aftpflichtver</w:t>
      </w:r>
      <w:bookmarkStart w:id="0" w:name="_GoBack"/>
      <w:bookmarkEnd w:id="0"/>
      <w:r>
        <w:rPr>
          <w:b/>
          <w:sz w:val="24"/>
        </w:rPr>
        <w:t>sicherung</w:t>
      </w:r>
      <w:r>
        <w:rPr>
          <w:sz w:val="24"/>
        </w:rPr>
        <w:t xml:space="preserve"> von Herrn Hermann zu tragen sein. </w:t>
      </w:r>
    </w:p>
    <w:p w:rsidR="00644C34" w:rsidRDefault="00644C34">
      <w:pPr>
        <w:rPr>
          <w:sz w:val="24"/>
        </w:rPr>
      </w:pPr>
    </w:p>
    <w:p w:rsidR="00644C34" w:rsidRDefault="00644C34">
      <w:pPr>
        <w:numPr>
          <w:ilvl w:val="0"/>
          <w:numId w:val="6"/>
        </w:numPr>
        <w:rPr>
          <w:sz w:val="24"/>
        </w:rPr>
      </w:pPr>
      <w:r>
        <w:rPr>
          <w:sz w:val="24"/>
        </w:rPr>
        <w:t>D</w:t>
      </w:r>
      <w:r w:rsidR="00E579F6">
        <w:rPr>
          <w:sz w:val="24"/>
        </w:rPr>
        <w:t>er Träger</w:t>
      </w:r>
      <w:r>
        <w:rPr>
          <w:b/>
          <w:sz w:val="24"/>
        </w:rPr>
        <w:t xml:space="preserve"> übernimmt</w:t>
      </w:r>
      <w:r>
        <w:rPr>
          <w:sz w:val="24"/>
        </w:rPr>
        <w:t xml:space="preserve"> (bis </w:t>
      </w:r>
      <w:r w:rsidR="00E579F6">
        <w:rPr>
          <w:sz w:val="24"/>
        </w:rPr>
        <w:t>1</w:t>
      </w:r>
      <w:r>
        <w:rPr>
          <w:sz w:val="24"/>
        </w:rPr>
        <w:t>000.-), dieser Betrag reicht in der Praxis.</w:t>
      </w:r>
    </w:p>
    <w:p w:rsidR="00644C34" w:rsidRDefault="00644C34">
      <w:pPr>
        <w:rPr>
          <w:sz w:val="24"/>
        </w:rPr>
      </w:pPr>
    </w:p>
    <w:p w:rsidR="00644C34" w:rsidRDefault="00644C34">
      <w:pPr>
        <w:numPr>
          <w:ilvl w:val="0"/>
          <w:numId w:val="6"/>
        </w:numPr>
        <w:rPr>
          <w:sz w:val="24"/>
        </w:rPr>
      </w:pPr>
      <w:r>
        <w:rPr>
          <w:sz w:val="24"/>
        </w:rPr>
        <w:t>Die Helferin darf d</w:t>
      </w:r>
      <w:r w:rsidR="00436863">
        <w:rPr>
          <w:sz w:val="24"/>
        </w:rPr>
        <w:t xml:space="preserve">en </w:t>
      </w:r>
      <w:r>
        <w:rPr>
          <w:sz w:val="24"/>
        </w:rPr>
        <w:t>verwirrte</w:t>
      </w:r>
      <w:r w:rsidR="00436863">
        <w:rPr>
          <w:sz w:val="24"/>
        </w:rPr>
        <w:t>n</w:t>
      </w:r>
      <w:r>
        <w:rPr>
          <w:sz w:val="24"/>
        </w:rPr>
        <w:t xml:space="preserve"> Pflegebedürftige</w:t>
      </w:r>
      <w:r w:rsidR="00436863">
        <w:rPr>
          <w:sz w:val="24"/>
        </w:rPr>
        <w:t>n</w:t>
      </w:r>
      <w:r>
        <w:rPr>
          <w:sz w:val="24"/>
        </w:rPr>
        <w:t xml:space="preserve"> </w:t>
      </w:r>
      <w:r>
        <w:rPr>
          <w:b/>
          <w:sz w:val="24"/>
        </w:rPr>
        <w:t>nicht</w:t>
      </w:r>
      <w:r>
        <w:rPr>
          <w:sz w:val="24"/>
        </w:rPr>
        <w:t xml:space="preserve"> „einsperren“, auch wenn dies Angehörige „anordnen“, damit macht sie sich strafbar (§ 239 Strafgesetzbuch)</w:t>
      </w:r>
      <w:r w:rsidR="00436863">
        <w:rPr>
          <w:sz w:val="24"/>
        </w:rPr>
        <w:t>. Die grundgesetzlich garantierte Freiheit kann nur unter Berücksichtigung der Vorgaben im Betreuungsrecht des BGB §1906 eingeschränkt werden oder wenn ein rechtfertigender Notstand vorliegt (§ 34 StGB).</w:t>
      </w:r>
    </w:p>
    <w:p w:rsidR="00436863" w:rsidRDefault="00436863" w:rsidP="00436863">
      <w:pPr>
        <w:rPr>
          <w:sz w:val="24"/>
        </w:rPr>
      </w:pPr>
    </w:p>
    <w:p w:rsidR="00644C34" w:rsidRDefault="00644C34">
      <w:pPr>
        <w:numPr>
          <w:ilvl w:val="0"/>
          <w:numId w:val="6"/>
        </w:numPr>
        <w:rPr>
          <w:sz w:val="24"/>
        </w:rPr>
      </w:pPr>
      <w:r>
        <w:rPr>
          <w:sz w:val="24"/>
        </w:rPr>
        <w:t>Die Helferin darf hier eine solche Antwort nicht geben (</w:t>
      </w:r>
      <w:r>
        <w:rPr>
          <w:b/>
          <w:sz w:val="24"/>
        </w:rPr>
        <w:t>Schweigepflicht!).</w:t>
      </w:r>
      <w:r>
        <w:rPr>
          <w:sz w:val="24"/>
        </w:rPr>
        <w:t xml:space="preserve"> Aber sie könnte sagen: „Ich bin die Nachbarschaftshelferin. Ich frage mal Frau X, ob sie a bissle Besuch von Ihnen haben möchte, gell?“</w:t>
      </w:r>
    </w:p>
    <w:p w:rsidR="00644C34" w:rsidRDefault="00644C34">
      <w:pPr>
        <w:rPr>
          <w:sz w:val="24"/>
        </w:rPr>
      </w:pPr>
    </w:p>
    <w:p w:rsidR="00644C34" w:rsidRDefault="00644C34">
      <w:pPr>
        <w:numPr>
          <w:ilvl w:val="0"/>
          <w:numId w:val="6"/>
        </w:numPr>
        <w:rPr>
          <w:sz w:val="24"/>
        </w:rPr>
      </w:pPr>
      <w:r>
        <w:rPr>
          <w:sz w:val="24"/>
        </w:rPr>
        <w:t xml:space="preserve">Sie darf das dann, wenn sie begründet der Meinung ist, dass </w:t>
      </w:r>
      <w:r>
        <w:rPr>
          <w:b/>
          <w:sz w:val="24"/>
        </w:rPr>
        <w:t>Gefahr für Leib und Leben</w:t>
      </w:r>
      <w:r>
        <w:rPr>
          <w:sz w:val="24"/>
        </w:rPr>
        <w:t xml:space="preserve"> besteht und Herr Dörte sich wirklich das Leben nehmen will. Sie kann ja z.B. Herrn Dörte sagen, dass sie sich um Ihn so große Sorgen macht, dass er sich das Leben nehmen möchte, so dass sie den Hausarzt anrufen müßte...</w:t>
      </w:r>
    </w:p>
    <w:p w:rsidR="00644C34" w:rsidRDefault="00644C34">
      <w:pPr>
        <w:rPr>
          <w:sz w:val="24"/>
        </w:rPr>
      </w:pPr>
    </w:p>
    <w:p w:rsidR="00644C34" w:rsidRDefault="00644C34">
      <w:pPr>
        <w:numPr>
          <w:ilvl w:val="0"/>
          <w:numId w:val="6"/>
        </w:numPr>
        <w:rPr>
          <w:sz w:val="24"/>
        </w:rPr>
      </w:pPr>
      <w:r>
        <w:rPr>
          <w:b/>
          <w:sz w:val="24"/>
        </w:rPr>
        <w:t>Nein</w:t>
      </w:r>
      <w:r>
        <w:rPr>
          <w:sz w:val="24"/>
        </w:rPr>
        <w:t>, das g</w:t>
      </w:r>
      <w:r w:rsidR="00436863">
        <w:rPr>
          <w:sz w:val="24"/>
        </w:rPr>
        <w:t xml:space="preserve">inge prinzipiell </w:t>
      </w:r>
      <w:r>
        <w:rPr>
          <w:sz w:val="24"/>
        </w:rPr>
        <w:t>nur, wenn eine schriftlich</w:t>
      </w:r>
      <w:r w:rsidR="00436863">
        <w:rPr>
          <w:sz w:val="24"/>
        </w:rPr>
        <w:t>e</w:t>
      </w:r>
      <w:r>
        <w:rPr>
          <w:sz w:val="24"/>
        </w:rPr>
        <w:t xml:space="preserve"> Vollmacht von Herrn Hämmerle für die Helferin vorliegen würde</w:t>
      </w:r>
      <w:r w:rsidR="002F2F6F">
        <w:rPr>
          <w:sz w:val="24"/>
        </w:rPr>
        <w:t xml:space="preserve">. </w:t>
      </w:r>
      <w:r>
        <w:rPr>
          <w:sz w:val="24"/>
        </w:rPr>
        <w:t xml:space="preserve"> </w:t>
      </w:r>
      <w:r w:rsidR="00436863">
        <w:rPr>
          <w:sz w:val="24"/>
        </w:rPr>
        <w:t xml:space="preserve">Eine Helferin sollte diese Aufgaben nicht übernehmen. Herr Hämmerle bzw. die Tochter sollten eine andere Person beauftragen oder eine gesetzliche Betreuung anregen. </w:t>
      </w:r>
    </w:p>
    <w:p w:rsidR="00436863" w:rsidRDefault="00436863" w:rsidP="00436863">
      <w:pPr>
        <w:rPr>
          <w:sz w:val="24"/>
        </w:rPr>
      </w:pPr>
    </w:p>
    <w:p w:rsidR="00644C34" w:rsidRDefault="00644C34">
      <w:pPr>
        <w:numPr>
          <w:ilvl w:val="0"/>
          <w:numId w:val="6"/>
        </w:numPr>
        <w:rPr>
          <w:sz w:val="24"/>
        </w:rPr>
      </w:pPr>
      <w:r>
        <w:rPr>
          <w:sz w:val="24"/>
        </w:rPr>
        <w:t xml:space="preserve">Nein, das kann die Einsatzleiterin von der Helferin nicht verlangen, sie hat keine Weisungsbefugnis, da die Tätigkeit in der Nbhi kein Arbeits- oder Dienstverhältnis ist! Sie wird sie aber vielleicht </w:t>
      </w:r>
      <w:r>
        <w:rPr>
          <w:b/>
          <w:sz w:val="24"/>
        </w:rPr>
        <w:t>bitten</w:t>
      </w:r>
      <w:r>
        <w:rPr>
          <w:sz w:val="24"/>
        </w:rPr>
        <w:t>, den Arzttermin, wenn es geht, zu verschieben....</w:t>
      </w:r>
    </w:p>
    <w:p w:rsidR="00B47124" w:rsidRDefault="00B47124" w:rsidP="00B47124">
      <w:pPr>
        <w:rPr>
          <w:sz w:val="24"/>
        </w:rPr>
      </w:pPr>
      <w:r>
        <w:rPr>
          <w:sz w:val="24"/>
        </w:rPr>
        <w:t xml:space="preserve"> </w:t>
      </w:r>
    </w:p>
    <w:p w:rsidR="00B47124" w:rsidRPr="009850B2" w:rsidRDefault="00B47124" w:rsidP="009850B2">
      <w:pPr>
        <w:ind w:left="4956"/>
        <w:jc w:val="right"/>
        <w:rPr>
          <w:sz w:val="18"/>
          <w:szCs w:val="18"/>
        </w:rPr>
      </w:pPr>
      <w:r w:rsidRPr="009850B2">
        <w:rPr>
          <w:sz w:val="18"/>
          <w:szCs w:val="18"/>
        </w:rPr>
        <w:t>muensch@caritas-biberach-saulgau.de</w:t>
      </w:r>
    </w:p>
    <w:sectPr w:rsidR="00B47124" w:rsidRPr="009850B2" w:rsidSect="009850B2">
      <w:footerReference w:type="even" r:id="rId7"/>
      <w:footerReference w:type="default" r:id="rId8"/>
      <w:pgSz w:w="11906" w:h="16838"/>
      <w:pgMar w:top="709" w:right="1417" w:bottom="142"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0A" w:rsidRDefault="00245C0A">
      <w:r>
        <w:separator/>
      </w:r>
    </w:p>
  </w:endnote>
  <w:endnote w:type="continuationSeparator" w:id="0">
    <w:p w:rsidR="00245C0A" w:rsidRDefault="002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6F" w:rsidRDefault="002F2F6F" w:rsidP="002213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F2F6F" w:rsidRDefault="002F2F6F" w:rsidP="002F2F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6F" w:rsidRDefault="002F2F6F" w:rsidP="002213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36863">
      <w:rPr>
        <w:rStyle w:val="Seitenzahl"/>
        <w:noProof/>
      </w:rPr>
      <w:t>2</w:t>
    </w:r>
    <w:r>
      <w:rPr>
        <w:rStyle w:val="Seitenzahl"/>
      </w:rPr>
      <w:fldChar w:fldCharType="end"/>
    </w:r>
  </w:p>
  <w:p w:rsidR="002F2F6F" w:rsidRDefault="002F2F6F" w:rsidP="002F2F6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0A" w:rsidRDefault="00245C0A">
      <w:r>
        <w:separator/>
      </w:r>
    </w:p>
  </w:footnote>
  <w:footnote w:type="continuationSeparator" w:id="0">
    <w:p w:rsidR="00245C0A" w:rsidRDefault="0024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402A"/>
    <w:multiLevelType w:val="singleLevel"/>
    <w:tmpl w:val="04070011"/>
    <w:lvl w:ilvl="0">
      <w:start w:val="1"/>
      <w:numFmt w:val="decimal"/>
      <w:lvlText w:val="%1)"/>
      <w:lvlJc w:val="left"/>
      <w:pPr>
        <w:tabs>
          <w:tab w:val="num" w:pos="360"/>
        </w:tabs>
        <w:ind w:left="360" w:hanging="360"/>
      </w:pPr>
    </w:lvl>
  </w:abstractNum>
  <w:abstractNum w:abstractNumId="1" w15:restartNumberingAfterBreak="0">
    <w:nsid w:val="294D31C5"/>
    <w:multiLevelType w:val="singleLevel"/>
    <w:tmpl w:val="04070011"/>
    <w:lvl w:ilvl="0">
      <w:start w:val="1"/>
      <w:numFmt w:val="decimal"/>
      <w:lvlText w:val="%1)"/>
      <w:lvlJc w:val="left"/>
      <w:pPr>
        <w:tabs>
          <w:tab w:val="num" w:pos="360"/>
        </w:tabs>
        <w:ind w:left="360" w:hanging="360"/>
      </w:pPr>
    </w:lvl>
  </w:abstractNum>
  <w:abstractNum w:abstractNumId="2" w15:restartNumberingAfterBreak="0">
    <w:nsid w:val="48FF21A2"/>
    <w:multiLevelType w:val="singleLevel"/>
    <w:tmpl w:val="04070011"/>
    <w:lvl w:ilvl="0">
      <w:start w:val="1"/>
      <w:numFmt w:val="decimal"/>
      <w:lvlText w:val="%1)"/>
      <w:lvlJc w:val="left"/>
      <w:pPr>
        <w:tabs>
          <w:tab w:val="num" w:pos="360"/>
        </w:tabs>
        <w:ind w:left="360" w:hanging="360"/>
      </w:pPr>
    </w:lvl>
  </w:abstractNum>
  <w:abstractNum w:abstractNumId="3" w15:restartNumberingAfterBreak="0">
    <w:nsid w:val="4AB71323"/>
    <w:multiLevelType w:val="singleLevel"/>
    <w:tmpl w:val="04070011"/>
    <w:lvl w:ilvl="0">
      <w:start w:val="1"/>
      <w:numFmt w:val="decimal"/>
      <w:lvlText w:val="%1)"/>
      <w:lvlJc w:val="left"/>
      <w:pPr>
        <w:tabs>
          <w:tab w:val="num" w:pos="360"/>
        </w:tabs>
        <w:ind w:left="360" w:hanging="360"/>
      </w:pPr>
    </w:lvl>
  </w:abstractNum>
  <w:abstractNum w:abstractNumId="4" w15:restartNumberingAfterBreak="0">
    <w:nsid w:val="4D7B3EC7"/>
    <w:multiLevelType w:val="singleLevel"/>
    <w:tmpl w:val="04070011"/>
    <w:lvl w:ilvl="0">
      <w:start w:val="1"/>
      <w:numFmt w:val="decimal"/>
      <w:lvlText w:val="%1)"/>
      <w:lvlJc w:val="left"/>
      <w:pPr>
        <w:tabs>
          <w:tab w:val="num" w:pos="360"/>
        </w:tabs>
        <w:ind w:left="360" w:hanging="360"/>
      </w:pPr>
      <w:rPr>
        <w:rFonts w:hint="default"/>
      </w:rPr>
    </w:lvl>
  </w:abstractNum>
  <w:abstractNum w:abstractNumId="5" w15:restartNumberingAfterBreak="0">
    <w:nsid w:val="77956786"/>
    <w:multiLevelType w:val="singleLevel"/>
    <w:tmpl w:val="04070011"/>
    <w:lvl w:ilvl="0">
      <w:start w:val="6"/>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89"/>
    <w:rsid w:val="00221347"/>
    <w:rsid w:val="00245C0A"/>
    <w:rsid w:val="002F2F6F"/>
    <w:rsid w:val="003C0443"/>
    <w:rsid w:val="00436863"/>
    <w:rsid w:val="00442589"/>
    <w:rsid w:val="00644C34"/>
    <w:rsid w:val="007054E4"/>
    <w:rsid w:val="00860B2C"/>
    <w:rsid w:val="00975CB1"/>
    <w:rsid w:val="009850B2"/>
    <w:rsid w:val="00B47124"/>
    <w:rsid w:val="00BD7165"/>
    <w:rsid w:val="00BE1460"/>
    <w:rsid w:val="00D965E1"/>
    <w:rsid w:val="00E579F6"/>
    <w:rsid w:val="00EC4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74EE58-E76D-4FB9-8AD7-504B1D0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sz w:val="24"/>
    </w:rPr>
  </w:style>
  <w:style w:type="paragraph" w:styleId="Fuzeile">
    <w:name w:val="footer"/>
    <w:basedOn w:val="Standard"/>
    <w:rsid w:val="002F2F6F"/>
    <w:pPr>
      <w:tabs>
        <w:tab w:val="center" w:pos="4536"/>
        <w:tab w:val="right" w:pos="9072"/>
      </w:tabs>
    </w:pPr>
  </w:style>
  <w:style w:type="character" w:styleId="Seitenzahl">
    <w:name w:val="page number"/>
    <w:basedOn w:val="Absatz-Standardschriftart"/>
    <w:rsid w:val="002F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Lösungsstichworte zu den Fällen: „Aus der Praxis der organ</vt:lpstr>
    </vt:vector>
  </TitlesOfParts>
  <Company>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Lösungsstichworte zu den Fällen: „Aus der Praxis der organ</dc:title>
  <dc:subject/>
  <dc:creator>Caritas Biberach Hilfen im Alter</dc:creator>
  <cp:keywords/>
  <cp:lastModifiedBy>Muensch, Thomas</cp:lastModifiedBy>
  <cp:revision>2</cp:revision>
  <cp:lastPrinted>2015-02-24T11:47:00Z</cp:lastPrinted>
  <dcterms:created xsi:type="dcterms:W3CDTF">2021-04-01T11:47:00Z</dcterms:created>
  <dcterms:modified xsi:type="dcterms:W3CDTF">2021-04-01T11:47:00Z</dcterms:modified>
</cp:coreProperties>
</file>